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FF03F9">
                              <w:rPr>
                                <w:rFonts w:ascii="Arial" w:hAnsi="Arial" w:cs="Arial"/>
                                <w:sz w:val="24"/>
                                <w:szCs w:val="24"/>
                              </w:rPr>
                              <w:t>January 23,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FF03F9">
                        <w:rPr>
                          <w:rFonts w:ascii="Arial" w:hAnsi="Arial" w:cs="Arial"/>
                          <w:sz w:val="24"/>
                          <w:szCs w:val="24"/>
                        </w:rPr>
                        <w:t>January 23,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35623D" w:rsidRDefault="0035623D" w:rsidP="0035623D"/>
          <w:p w:rsidR="006026AA" w:rsidRPr="0035623D" w:rsidRDefault="006026AA" w:rsidP="0035623D">
            <w:pPr>
              <w:rPr>
                <w:rFonts w:ascii="Arial" w:hAnsi="Arial" w:cs="Arial"/>
                <w:i/>
                <w:sz w:val="22"/>
                <w:szCs w:val="22"/>
              </w:rPr>
            </w:pPr>
          </w:p>
        </w:tc>
        <w:tc>
          <w:tcPr>
            <w:tcW w:w="7045" w:type="dxa"/>
          </w:tcPr>
          <w:p w:rsidR="006026AA" w:rsidRDefault="009E146E" w:rsidP="00760C8F">
            <w:pPr>
              <w:rPr>
                <w:rFonts w:ascii="Arial" w:hAnsi="Arial" w:cs="Arial"/>
                <w:sz w:val="22"/>
                <w:szCs w:val="22"/>
              </w:rPr>
            </w:pPr>
            <w:r>
              <w:rPr>
                <w:rFonts w:ascii="Arial" w:hAnsi="Arial" w:cs="Arial"/>
                <w:sz w:val="22"/>
                <w:szCs w:val="22"/>
              </w:rPr>
              <w:t>John Ginsburg</w:t>
            </w:r>
            <w:r w:rsidR="006026AA" w:rsidRPr="00A90A6A">
              <w:rPr>
                <w:rFonts w:ascii="Arial" w:hAnsi="Arial" w:cs="Arial"/>
                <w:sz w:val="22"/>
                <w:szCs w:val="22"/>
              </w:rPr>
              <w:t xml:space="preserve"> – Chair, </w:t>
            </w:r>
            <w:r w:rsidR="00027C51">
              <w:rPr>
                <w:rFonts w:ascii="Arial" w:hAnsi="Arial" w:cs="Arial"/>
                <w:sz w:val="22"/>
                <w:szCs w:val="22"/>
              </w:rPr>
              <w:t>ASG Member</w:t>
            </w:r>
            <w:r w:rsidR="007858D1">
              <w:rPr>
                <w:rFonts w:ascii="Arial" w:hAnsi="Arial" w:cs="Arial"/>
                <w:sz w:val="22"/>
                <w:szCs w:val="22"/>
              </w:rPr>
              <w:t xml:space="preserve">, </w:t>
            </w:r>
            <w:r w:rsidR="00594E86" w:rsidRPr="005E6645">
              <w:rPr>
                <w:rFonts w:ascii="Arial" w:hAnsi="Arial" w:cs="Arial"/>
                <w:sz w:val="22"/>
                <w:szCs w:val="22"/>
              </w:rPr>
              <w:t xml:space="preserve">Josh Aman, </w:t>
            </w:r>
            <w:r w:rsidR="007D4BDF">
              <w:rPr>
                <w:rFonts w:ascii="Arial" w:hAnsi="Arial" w:cs="Arial"/>
                <w:sz w:val="22"/>
                <w:szCs w:val="22"/>
              </w:rPr>
              <w:t xml:space="preserve">Dustin Bare, </w:t>
            </w:r>
            <w:r w:rsidR="00FF03F9">
              <w:rPr>
                <w:rFonts w:ascii="Arial" w:hAnsi="Arial" w:cs="Arial"/>
                <w:sz w:val="22"/>
                <w:szCs w:val="22"/>
              </w:rPr>
              <w:t xml:space="preserve">Jaime Clarke, </w:t>
            </w:r>
            <w:r w:rsidR="0035623D">
              <w:rPr>
                <w:rFonts w:ascii="Arial" w:hAnsi="Arial" w:cs="Arial"/>
                <w:sz w:val="22"/>
                <w:szCs w:val="22"/>
              </w:rPr>
              <w:t xml:space="preserve">Kara Leonard, </w:t>
            </w:r>
            <w:r w:rsidR="006026AA" w:rsidRPr="005E6645">
              <w:rPr>
                <w:rFonts w:ascii="Arial" w:hAnsi="Arial" w:cs="Arial"/>
                <w:sz w:val="22"/>
                <w:szCs w:val="22"/>
              </w:rPr>
              <w:t>David Mille</w:t>
            </w:r>
            <w:r w:rsidR="00335B03" w:rsidRPr="005E6645">
              <w:rPr>
                <w:rFonts w:ascii="Arial" w:hAnsi="Arial" w:cs="Arial"/>
                <w:sz w:val="22"/>
                <w:szCs w:val="22"/>
              </w:rPr>
              <w:t xml:space="preserve">r, </w:t>
            </w:r>
            <w:r>
              <w:rPr>
                <w:rFonts w:ascii="Arial" w:hAnsi="Arial" w:cs="Arial"/>
                <w:sz w:val="22"/>
                <w:szCs w:val="22"/>
              </w:rPr>
              <w:t xml:space="preserve">Suzanne Munro, John Phelps, Tara Sprehe, </w:t>
            </w:r>
            <w:r w:rsidR="006026AA" w:rsidRPr="005E6645">
              <w:rPr>
                <w:rFonts w:ascii="Arial" w:hAnsi="Arial" w:cs="Arial"/>
                <w:sz w:val="22"/>
                <w:szCs w:val="22"/>
              </w:rPr>
              <w:t>Ryan Stewart</w:t>
            </w:r>
            <w:r w:rsidR="00760C8F">
              <w:rPr>
                <w:rFonts w:ascii="Arial" w:hAnsi="Arial" w:cs="Arial"/>
                <w:sz w:val="22"/>
                <w:szCs w:val="22"/>
              </w:rPr>
              <w:t xml:space="preserve">, </w:t>
            </w:r>
            <w:r w:rsidR="007D4BDF">
              <w:rPr>
                <w:rFonts w:ascii="Arial" w:hAnsi="Arial" w:cs="Arial"/>
                <w:sz w:val="22"/>
                <w:szCs w:val="22"/>
              </w:rPr>
              <w:t xml:space="preserve">Chris Sweet, </w:t>
            </w:r>
            <w:r>
              <w:rPr>
                <w:rFonts w:ascii="Arial" w:hAnsi="Arial" w:cs="Arial"/>
                <w:sz w:val="22"/>
                <w:szCs w:val="22"/>
              </w:rPr>
              <w:t>Ryan West</w:t>
            </w:r>
          </w:p>
          <w:p w:rsidR="00760C8F" w:rsidRPr="00A90A6A" w:rsidRDefault="00760C8F" w:rsidP="00760C8F">
            <w:pPr>
              <w:rPr>
                <w:rFonts w:ascii="Arial" w:hAnsi="Arial" w:cs="Arial"/>
                <w:sz w:val="22"/>
                <w:szCs w:val="22"/>
              </w:rPr>
            </w:pPr>
          </w:p>
        </w:tc>
      </w:tr>
      <w:tr w:rsidR="002F5719" w:rsidRPr="00A90A6A" w:rsidTr="009E54DE">
        <w:trPr>
          <w:trHeight w:val="432"/>
        </w:trPr>
        <w:tc>
          <w:tcPr>
            <w:tcW w:w="1620" w:type="dxa"/>
            <w:tcBorders>
              <w:bottom w:val="single" w:sz="4" w:space="0" w:color="auto"/>
            </w:tcBorders>
          </w:tcPr>
          <w:p w:rsidR="002F5719" w:rsidRPr="00A90A6A" w:rsidRDefault="002F5719" w:rsidP="00B5402A">
            <w:pPr>
              <w:pStyle w:val="Heading1"/>
              <w:outlineLvl w:val="0"/>
              <w:rPr>
                <w:rFonts w:ascii="Arial" w:hAnsi="Arial" w:cs="Arial"/>
                <w:sz w:val="22"/>
                <w:szCs w:val="22"/>
              </w:rPr>
            </w:pPr>
            <w:r w:rsidRPr="00A90A6A">
              <w:rPr>
                <w:rFonts w:ascii="Arial" w:hAnsi="Arial" w:cs="Arial"/>
                <w:sz w:val="22"/>
                <w:szCs w:val="22"/>
              </w:rPr>
              <w:t>Recorder:</w:t>
            </w:r>
          </w:p>
          <w:p w:rsidR="002F5719" w:rsidRPr="00A90A6A" w:rsidRDefault="002F5719" w:rsidP="00B5402A">
            <w:pPr>
              <w:pStyle w:val="Heading1"/>
              <w:outlineLvl w:val="0"/>
              <w:rPr>
                <w:rFonts w:ascii="Arial" w:hAnsi="Arial" w:cs="Arial"/>
                <w:sz w:val="22"/>
                <w:szCs w:val="22"/>
              </w:rPr>
            </w:pPr>
          </w:p>
        </w:tc>
        <w:tc>
          <w:tcPr>
            <w:tcW w:w="7045" w:type="dxa"/>
            <w:tcBorders>
              <w:bottom w:val="single" w:sz="4" w:space="0" w:color="auto"/>
            </w:tcBorders>
          </w:tcPr>
          <w:p w:rsidR="002F5719" w:rsidRPr="00A90A6A" w:rsidRDefault="002F5719" w:rsidP="00B5402A">
            <w:pPr>
              <w:rPr>
                <w:rFonts w:ascii="Arial" w:hAnsi="Arial" w:cs="Arial"/>
                <w:sz w:val="22"/>
                <w:szCs w:val="22"/>
              </w:rPr>
            </w:pPr>
            <w:r w:rsidRPr="00A90A6A">
              <w:rPr>
                <w:rFonts w:ascii="Arial" w:hAnsi="Arial" w:cs="Arial"/>
                <w:sz w:val="22"/>
                <w:szCs w:val="22"/>
              </w:rPr>
              <w:t>Laura Lundborg</w:t>
            </w:r>
          </w:p>
          <w:p w:rsidR="002F5719" w:rsidRPr="00A90A6A" w:rsidRDefault="002F5719" w:rsidP="00B40947">
            <w:pPr>
              <w:rPr>
                <w:rFonts w:ascii="Arial" w:hAnsi="Arial" w:cs="Arial"/>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3F1DAC" w:rsidRPr="00DD0A33" w:rsidRDefault="00FA1871" w:rsidP="00E33AB5">
      <w:pPr>
        <w:rPr>
          <w:rFonts w:ascii="Arial" w:hAnsi="Arial" w:cs="Arial"/>
        </w:rPr>
      </w:pPr>
      <w:r>
        <w:rPr>
          <w:rFonts w:ascii="Arial" w:hAnsi="Arial" w:cs="Arial"/>
          <w:b/>
        </w:rPr>
        <w:t>Just-I</w:t>
      </w:r>
      <w:r w:rsidR="00E33AB5">
        <w:rPr>
          <w:rFonts w:ascii="Arial" w:hAnsi="Arial" w:cs="Arial"/>
          <w:b/>
        </w:rPr>
        <w:t>n</w:t>
      </w:r>
      <w:r>
        <w:rPr>
          <w:rFonts w:ascii="Arial" w:hAnsi="Arial" w:cs="Arial"/>
          <w:b/>
        </w:rPr>
        <w:t>-</w:t>
      </w:r>
      <w:r w:rsidR="00E33AB5">
        <w:rPr>
          <w:rFonts w:ascii="Arial" w:hAnsi="Arial" w:cs="Arial"/>
          <w:b/>
        </w:rPr>
        <w:t>Time Issues</w:t>
      </w:r>
      <w:r w:rsidR="007858D1" w:rsidRPr="00DD0A33">
        <w:rPr>
          <w:rFonts w:ascii="Arial" w:hAnsi="Arial" w:cs="Arial"/>
        </w:rPr>
        <w:t xml:space="preserve">: </w:t>
      </w:r>
      <w:r w:rsidR="00294A97">
        <w:rPr>
          <w:rFonts w:ascii="Arial" w:hAnsi="Arial" w:cs="Arial"/>
        </w:rPr>
        <w:t>t</w:t>
      </w:r>
      <w:r w:rsidR="00B3618B">
        <w:rPr>
          <w:rFonts w:ascii="Arial" w:hAnsi="Arial" w:cs="Arial"/>
        </w:rPr>
        <w:t>he group discussed topics resulting from the winter storm school closure</w:t>
      </w:r>
      <w:r w:rsidR="00020E87">
        <w:rPr>
          <w:rFonts w:ascii="Arial" w:hAnsi="Arial" w:cs="Arial"/>
        </w:rPr>
        <w:t xml:space="preserve">. </w:t>
      </w:r>
    </w:p>
    <w:p w:rsidR="003F1DAC" w:rsidRPr="00DD0A33" w:rsidRDefault="003F1DAC" w:rsidP="003F1DAC">
      <w:pPr>
        <w:pStyle w:val="ListParagraph"/>
        <w:rPr>
          <w:rFonts w:ascii="Arial" w:hAnsi="Arial" w:cs="Arial"/>
          <w:b/>
          <w:sz w:val="22"/>
          <w:szCs w:val="22"/>
        </w:rPr>
      </w:pPr>
    </w:p>
    <w:p w:rsidR="00020E87" w:rsidRPr="00B3618B" w:rsidRDefault="00B3618B" w:rsidP="005756F1">
      <w:pPr>
        <w:pStyle w:val="ListParagraph"/>
        <w:numPr>
          <w:ilvl w:val="0"/>
          <w:numId w:val="24"/>
        </w:numPr>
        <w:spacing w:after="120"/>
        <w:ind w:left="778"/>
        <w:contextualSpacing w:val="0"/>
      </w:pPr>
      <w:r w:rsidRPr="0011122E">
        <w:rPr>
          <w:rFonts w:ascii="Arial" w:hAnsi="Arial" w:cs="Arial"/>
          <w:b/>
          <w:sz w:val="22"/>
          <w:szCs w:val="22"/>
        </w:rPr>
        <w:t>Deadline Extensions</w:t>
      </w:r>
      <w:r>
        <w:rPr>
          <w:rFonts w:ascii="Arial" w:hAnsi="Arial" w:cs="Arial"/>
          <w:sz w:val="22"/>
          <w:szCs w:val="22"/>
        </w:rPr>
        <w:t xml:space="preserve"> – the group recapped extensions for enrollment and student accounts</w:t>
      </w:r>
      <w:r w:rsidR="005A3585">
        <w:rPr>
          <w:rFonts w:ascii="Arial" w:hAnsi="Arial" w:cs="Arial"/>
          <w:sz w:val="22"/>
          <w:szCs w:val="22"/>
        </w:rPr>
        <w:t>.</w:t>
      </w:r>
      <w:r>
        <w:rPr>
          <w:rFonts w:ascii="Arial" w:hAnsi="Arial" w:cs="Arial"/>
          <w:sz w:val="22"/>
          <w:szCs w:val="22"/>
        </w:rPr>
        <w:t xml:space="preserve"> </w:t>
      </w:r>
    </w:p>
    <w:p w:rsidR="003F1DAC" w:rsidRPr="00B3618B" w:rsidRDefault="00B3618B" w:rsidP="005756F1">
      <w:pPr>
        <w:pStyle w:val="ListParagraph"/>
        <w:numPr>
          <w:ilvl w:val="0"/>
          <w:numId w:val="24"/>
        </w:numPr>
        <w:spacing w:after="120"/>
        <w:ind w:left="778"/>
        <w:contextualSpacing w:val="0"/>
        <w:rPr>
          <w:rFonts w:ascii="Arial" w:hAnsi="Arial" w:cs="Arial"/>
        </w:rPr>
      </w:pPr>
      <w:r w:rsidRPr="0011122E">
        <w:rPr>
          <w:rFonts w:ascii="Arial" w:hAnsi="Arial" w:cs="Arial"/>
          <w:b/>
          <w:sz w:val="22"/>
          <w:szCs w:val="22"/>
        </w:rPr>
        <w:t>Course Catch-Up</w:t>
      </w:r>
      <w:r>
        <w:rPr>
          <w:rFonts w:ascii="Arial" w:hAnsi="Arial" w:cs="Arial"/>
          <w:sz w:val="22"/>
          <w:szCs w:val="22"/>
        </w:rPr>
        <w:t xml:space="preserve"> – faculty are being flexible with students to make up time missed during storm.  Many are able to cover the missed information within class without </w:t>
      </w:r>
      <w:r w:rsidR="005A3585">
        <w:rPr>
          <w:rFonts w:ascii="Arial" w:hAnsi="Arial" w:cs="Arial"/>
          <w:sz w:val="22"/>
          <w:szCs w:val="22"/>
        </w:rPr>
        <w:t>make-up</w:t>
      </w:r>
      <w:r>
        <w:rPr>
          <w:rFonts w:ascii="Arial" w:hAnsi="Arial" w:cs="Arial"/>
          <w:sz w:val="22"/>
          <w:szCs w:val="22"/>
        </w:rPr>
        <w:t xml:space="preserve"> days.  </w:t>
      </w:r>
    </w:p>
    <w:p w:rsidR="00B3618B" w:rsidRPr="0011122E" w:rsidRDefault="00B3618B" w:rsidP="005756F1">
      <w:pPr>
        <w:pStyle w:val="ListParagraph"/>
        <w:numPr>
          <w:ilvl w:val="0"/>
          <w:numId w:val="24"/>
        </w:numPr>
        <w:spacing w:after="120"/>
        <w:ind w:left="778"/>
        <w:contextualSpacing w:val="0"/>
        <w:rPr>
          <w:rFonts w:ascii="Arial" w:hAnsi="Arial" w:cs="Arial"/>
        </w:rPr>
      </w:pPr>
      <w:r w:rsidRPr="0011122E">
        <w:rPr>
          <w:rFonts w:ascii="Arial" w:hAnsi="Arial" w:cs="Arial"/>
          <w:b/>
          <w:sz w:val="22"/>
          <w:szCs w:val="22"/>
        </w:rPr>
        <w:t>Financial Aid</w:t>
      </w:r>
      <w:r w:rsidRPr="0011122E">
        <w:rPr>
          <w:rFonts w:ascii="Arial" w:hAnsi="Arial" w:cs="Arial"/>
          <w:sz w:val="22"/>
          <w:szCs w:val="22"/>
        </w:rPr>
        <w:t xml:space="preserve"> – they are current in processing.  If students indicate they are waiting on financial aid, please instruct them to contact the department.  </w:t>
      </w:r>
    </w:p>
    <w:p w:rsidR="0011122E" w:rsidRPr="0011122E" w:rsidRDefault="0011122E" w:rsidP="0011122E">
      <w:pPr>
        <w:pStyle w:val="ListParagraph"/>
        <w:ind w:left="780"/>
        <w:rPr>
          <w:rFonts w:ascii="Arial" w:hAnsi="Arial" w:cs="Arial"/>
        </w:rPr>
      </w:pPr>
    </w:p>
    <w:p w:rsidR="00DC5E9C" w:rsidRPr="009307B9" w:rsidRDefault="00294A97" w:rsidP="009307B9">
      <w:pPr>
        <w:spacing w:after="120"/>
        <w:rPr>
          <w:rFonts w:ascii="Arial" w:hAnsi="Arial" w:cs="Arial"/>
        </w:rPr>
      </w:pPr>
      <w:r>
        <w:rPr>
          <w:rFonts w:ascii="Arial" w:hAnsi="Arial" w:cs="Arial"/>
          <w:b/>
        </w:rPr>
        <w:t>Policy</w:t>
      </w:r>
      <w:r w:rsidR="009472D3">
        <w:rPr>
          <w:rFonts w:ascii="Arial" w:hAnsi="Arial" w:cs="Arial"/>
          <w:b/>
        </w:rPr>
        <w:t>/Sub-Group</w:t>
      </w:r>
      <w:r>
        <w:rPr>
          <w:rFonts w:ascii="Arial" w:hAnsi="Arial" w:cs="Arial"/>
          <w:b/>
        </w:rPr>
        <w:t xml:space="preserve"> Updates</w:t>
      </w:r>
      <w:r w:rsidR="003F1DAC" w:rsidRPr="00294A97">
        <w:rPr>
          <w:rFonts w:ascii="Arial" w:hAnsi="Arial" w:cs="Arial"/>
        </w:rPr>
        <w:t>:</w:t>
      </w:r>
      <w:r w:rsidR="009D4C7C" w:rsidRPr="00294A97">
        <w:rPr>
          <w:rFonts w:ascii="Arial" w:hAnsi="Arial" w:cs="Arial"/>
        </w:rPr>
        <w:t xml:space="preserve"> </w:t>
      </w:r>
      <w:r w:rsidR="009472D3">
        <w:rPr>
          <w:rFonts w:ascii="Arial" w:hAnsi="Arial" w:cs="Arial"/>
        </w:rPr>
        <w:t xml:space="preserve">John reviewed the policy and procedure numbering system.  The group </w:t>
      </w:r>
      <w:r w:rsidR="005A3585">
        <w:rPr>
          <w:rFonts w:ascii="Arial" w:hAnsi="Arial" w:cs="Arial"/>
        </w:rPr>
        <w:t>gave updates</w:t>
      </w:r>
      <w:r w:rsidR="009472D3">
        <w:rPr>
          <w:rFonts w:ascii="Arial" w:hAnsi="Arial" w:cs="Arial"/>
        </w:rPr>
        <w:t xml:space="preserve"> on project deliverables.  </w:t>
      </w:r>
      <w:r w:rsidR="003F1DAC" w:rsidRPr="009307B9">
        <w:rPr>
          <w:rFonts w:ascii="Arial" w:hAnsi="Arial" w:cs="Arial"/>
        </w:rPr>
        <w:t xml:space="preserve">  </w:t>
      </w:r>
    </w:p>
    <w:p w:rsidR="0011122E" w:rsidRPr="009307B9" w:rsidRDefault="009472D3" w:rsidP="009307B9">
      <w:pPr>
        <w:pStyle w:val="ListParagraph"/>
        <w:numPr>
          <w:ilvl w:val="0"/>
          <w:numId w:val="21"/>
        </w:numPr>
        <w:spacing w:after="120"/>
        <w:contextualSpacing w:val="0"/>
        <w:rPr>
          <w:rFonts w:ascii="Arial" w:hAnsi="Arial" w:cs="Arial"/>
          <w:sz w:val="22"/>
          <w:szCs w:val="22"/>
        </w:rPr>
      </w:pPr>
      <w:r w:rsidRPr="0011122E">
        <w:rPr>
          <w:rFonts w:ascii="Arial" w:hAnsi="Arial" w:cs="Arial"/>
          <w:b/>
          <w:sz w:val="22"/>
          <w:szCs w:val="22"/>
        </w:rPr>
        <w:t>Policy/Procedure Numbering</w:t>
      </w:r>
      <w:r w:rsidR="0011122E" w:rsidRPr="0011122E">
        <w:rPr>
          <w:rFonts w:ascii="Arial" w:hAnsi="Arial" w:cs="Arial"/>
          <w:b/>
          <w:sz w:val="22"/>
          <w:szCs w:val="22"/>
        </w:rPr>
        <w:t xml:space="preserve"> System</w:t>
      </w:r>
      <w:r>
        <w:rPr>
          <w:rFonts w:ascii="Arial" w:hAnsi="Arial" w:cs="Arial"/>
          <w:b/>
          <w:sz w:val="22"/>
          <w:szCs w:val="22"/>
        </w:rPr>
        <w:t xml:space="preserve"> </w:t>
      </w:r>
      <w:r w:rsidR="009C1005" w:rsidRPr="009A0103">
        <w:rPr>
          <w:rFonts w:ascii="Arial" w:hAnsi="Arial" w:cs="Arial"/>
          <w:sz w:val="22"/>
          <w:szCs w:val="22"/>
        </w:rPr>
        <w:t xml:space="preserve">– </w:t>
      </w:r>
      <w:r w:rsidR="0011122E">
        <w:rPr>
          <w:rFonts w:ascii="Arial" w:hAnsi="Arial" w:cs="Arial"/>
          <w:sz w:val="22"/>
          <w:szCs w:val="22"/>
        </w:rPr>
        <w:t>under each category (e.g. Student Rights &amp; Responsibilities) numbers are assigned in groups for ARC, ARC/ISP, and ISP policies.  Once a policy has been assigned a specific three-digit number the procedure or appendix related to the policy will be given the same number followe</w:t>
      </w:r>
      <w:r w:rsidR="00A22644">
        <w:rPr>
          <w:rFonts w:ascii="Arial" w:hAnsi="Arial" w:cs="Arial"/>
          <w:sz w:val="22"/>
          <w:szCs w:val="22"/>
        </w:rPr>
        <w:t>d by a letter</w:t>
      </w:r>
      <w:r w:rsidR="0011122E">
        <w:rPr>
          <w:rFonts w:ascii="Arial" w:hAnsi="Arial" w:cs="Arial"/>
          <w:sz w:val="22"/>
          <w:szCs w:val="22"/>
        </w:rPr>
        <w:t xml:space="preserve"> </w:t>
      </w:r>
      <w:r w:rsidR="00A22644">
        <w:rPr>
          <w:rFonts w:ascii="Arial" w:hAnsi="Arial" w:cs="Arial"/>
          <w:sz w:val="22"/>
          <w:szCs w:val="22"/>
        </w:rPr>
        <w:t>‘</w:t>
      </w:r>
      <w:r w:rsidR="0011122E">
        <w:rPr>
          <w:rFonts w:ascii="Arial" w:hAnsi="Arial" w:cs="Arial"/>
          <w:sz w:val="22"/>
          <w:szCs w:val="22"/>
        </w:rPr>
        <w:t>P</w:t>
      </w:r>
      <w:r w:rsidR="00A22644">
        <w:rPr>
          <w:rFonts w:ascii="Arial" w:hAnsi="Arial" w:cs="Arial"/>
          <w:sz w:val="22"/>
          <w:szCs w:val="22"/>
        </w:rPr>
        <w:t>’</w:t>
      </w:r>
      <w:r w:rsidR="0011122E">
        <w:rPr>
          <w:rFonts w:ascii="Arial" w:hAnsi="Arial" w:cs="Arial"/>
          <w:sz w:val="22"/>
          <w:szCs w:val="22"/>
        </w:rPr>
        <w:t xml:space="preserve"> for procedures and </w:t>
      </w:r>
      <w:r w:rsidR="00A22644">
        <w:rPr>
          <w:rFonts w:ascii="Arial" w:hAnsi="Arial" w:cs="Arial"/>
          <w:sz w:val="22"/>
          <w:szCs w:val="22"/>
        </w:rPr>
        <w:t>‘</w:t>
      </w:r>
      <w:r w:rsidR="0011122E">
        <w:rPr>
          <w:rFonts w:ascii="Arial" w:hAnsi="Arial" w:cs="Arial"/>
          <w:sz w:val="22"/>
          <w:szCs w:val="22"/>
        </w:rPr>
        <w:t>A</w:t>
      </w:r>
      <w:r w:rsidR="00A22644">
        <w:rPr>
          <w:rFonts w:ascii="Arial" w:hAnsi="Arial" w:cs="Arial"/>
          <w:sz w:val="22"/>
          <w:szCs w:val="22"/>
        </w:rPr>
        <w:t>’</w:t>
      </w:r>
      <w:r w:rsidR="0011122E">
        <w:rPr>
          <w:rFonts w:ascii="Arial" w:hAnsi="Arial" w:cs="Arial"/>
          <w:sz w:val="22"/>
          <w:szCs w:val="22"/>
        </w:rPr>
        <w:t xml:space="preserve"> for appendices.   </w:t>
      </w:r>
    </w:p>
    <w:p w:rsidR="0011122E" w:rsidRPr="0011122E" w:rsidRDefault="0011122E" w:rsidP="009307B9">
      <w:pPr>
        <w:spacing w:after="120"/>
        <w:ind w:left="720"/>
        <w:rPr>
          <w:rFonts w:ascii="Arial" w:hAnsi="Arial" w:cs="Arial"/>
        </w:rPr>
      </w:pPr>
      <w:r>
        <w:rPr>
          <w:rFonts w:ascii="Arial" w:hAnsi="Arial" w:cs="Arial"/>
        </w:rPr>
        <w:t xml:space="preserve">The Gap Analysis group led by Ryan West will come up with some draft category topics that will make it easy to search for </w:t>
      </w:r>
      <w:r w:rsidR="00A22644">
        <w:rPr>
          <w:rFonts w:ascii="Arial" w:hAnsi="Arial" w:cs="Arial"/>
        </w:rPr>
        <w:t>policies</w:t>
      </w:r>
      <w:r>
        <w:rPr>
          <w:rFonts w:ascii="Arial" w:hAnsi="Arial" w:cs="Arial"/>
        </w:rPr>
        <w:t xml:space="preserve">.  They will research what other schools have in place and come back with ideas to ISP and ARC.  </w:t>
      </w:r>
    </w:p>
    <w:p w:rsidR="009C1005" w:rsidRPr="009A0103" w:rsidRDefault="0011122E" w:rsidP="009307B9">
      <w:pPr>
        <w:pStyle w:val="ListParagraph"/>
        <w:numPr>
          <w:ilvl w:val="0"/>
          <w:numId w:val="21"/>
        </w:numPr>
        <w:spacing w:after="120" w:line="240" w:lineRule="auto"/>
        <w:contextualSpacing w:val="0"/>
        <w:rPr>
          <w:rFonts w:ascii="Arial" w:hAnsi="Arial" w:cs="Arial"/>
          <w:sz w:val="22"/>
          <w:szCs w:val="22"/>
        </w:rPr>
      </w:pPr>
      <w:r>
        <w:rPr>
          <w:rFonts w:ascii="Arial" w:hAnsi="Arial" w:cs="Arial"/>
          <w:b/>
          <w:sz w:val="22"/>
          <w:szCs w:val="22"/>
        </w:rPr>
        <w:t>Activision/Demonstration Policy</w:t>
      </w:r>
      <w:r w:rsidR="009C1005" w:rsidRPr="009A0103">
        <w:rPr>
          <w:rFonts w:ascii="Arial" w:hAnsi="Arial" w:cs="Arial"/>
          <w:sz w:val="22"/>
          <w:szCs w:val="22"/>
        </w:rPr>
        <w:t xml:space="preserve"> – </w:t>
      </w:r>
      <w:r>
        <w:rPr>
          <w:rFonts w:ascii="Arial" w:hAnsi="Arial" w:cs="Arial"/>
          <w:sz w:val="22"/>
          <w:szCs w:val="22"/>
        </w:rPr>
        <w:t>this policy will be a sub-policy of the Free Speech Policy.</w:t>
      </w:r>
      <w:r w:rsidR="00A22644">
        <w:rPr>
          <w:rFonts w:ascii="Arial" w:hAnsi="Arial" w:cs="Arial"/>
          <w:sz w:val="22"/>
          <w:szCs w:val="22"/>
        </w:rPr>
        <w:t xml:space="preserve">  </w:t>
      </w:r>
      <w:r>
        <w:rPr>
          <w:rFonts w:ascii="Arial" w:hAnsi="Arial" w:cs="Arial"/>
          <w:sz w:val="22"/>
          <w:szCs w:val="22"/>
        </w:rPr>
        <w:t xml:space="preserve">  </w:t>
      </w:r>
    </w:p>
    <w:p w:rsidR="008D4B70" w:rsidRPr="005756F1" w:rsidRDefault="008D4B70" w:rsidP="009307B9">
      <w:pPr>
        <w:pStyle w:val="ListParagraph"/>
        <w:numPr>
          <w:ilvl w:val="0"/>
          <w:numId w:val="21"/>
        </w:numPr>
        <w:spacing w:after="120"/>
        <w:contextualSpacing w:val="0"/>
        <w:rPr>
          <w:rFonts w:ascii="Arial" w:hAnsi="Arial" w:cs="Arial"/>
          <w:sz w:val="22"/>
          <w:szCs w:val="22"/>
        </w:rPr>
      </w:pPr>
      <w:r>
        <w:rPr>
          <w:rFonts w:ascii="Arial" w:hAnsi="Arial" w:cs="Arial"/>
          <w:b/>
          <w:sz w:val="22"/>
          <w:szCs w:val="22"/>
        </w:rPr>
        <w:t>Identity Fraud</w:t>
      </w:r>
      <w:r w:rsidR="009C1005" w:rsidRPr="009A0103">
        <w:rPr>
          <w:rFonts w:ascii="Arial" w:hAnsi="Arial" w:cs="Arial"/>
          <w:sz w:val="22"/>
          <w:szCs w:val="22"/>
        </w:rPr>
        <w:t xml:space="preserve"> – </w:t>
      </w:r>
      <w:r>
        <w:rPr>
          <w:rFonts w:ascii="Arial" w:hAnsi="Arial" w:cs="Arial"/>
          <w:sz w:val="22"/>
          <w:szCs w:val="22"/>
        </w:rPr>
        <w:t xml:space="preserve">Ryan Stewart has a working draft that was reviewed by this group last year.  He will have someone in Financial Aid and Student Accounts look it over then will bring it back to ARC for another reading. </w:t>
      </w:r>
    </w:p>
    <w:p w:rsidR="00A22644" w:rsidRDefault="00A22644">
      <w:pPr>
        <w:rPr>
          <w:rFonts w:ascii="Arial" w:hAnsi="Arial" w:cs="Arial"/>
        </w:rPr>
      </w:pPr>
      <w:r>
        <w:rPr>
          <w:rFonts w:ascii="Arial" w:hAnsi="Arial" w:cs="Arial"/>
        </w:rPr>
        <w:br w:type="page"/>
      </w:r>
    </w:p>
    <w:p w:rsidR="00DD0A33" w:rsidRDefault="008D4B70" w:rsidP="009307B9">
      <w:pPr>
        <w:spacing w:after="120"/>
        <w:rPr>
          <w:rFonts w:ascii="Arial" w:hAnsi="Arial" w:cs="Arial"/>
        </w:rPr>
      </w:pPr>
      <w:r>
        <w:rPr>
          <w:rFonts w:ascii="Arial" w:hAnsi="Arial" w:cs="Arial"/>
          <w:b/>
        </w:rPr>
        <w:lastRenderedPageBreak/>
        <w:t>Big Picture Brainstorming</w:t>
      </w:r>
      <w:r w:rsidR="00352D44" w:rsidRPr="00352D44">
        <w:rPr>
          <w:rFonts w:ascii="Arial" w:hAnsi="Arial" w:cs="Arial"/>
          <w:b/>
        </w:rPr>
        <w:t xml:space="preserve"> –</w:t>
      </w:r>
      <w:r w:rsidR="00352D44">
        <w:rPr>
          <w:rFonts w:ascii="Arial" w:hAnsi="Arial" w:cs="Arial"/>
        </w:rPr>
        <w:t xml:space="preserve"> </w:t>
      </w:r>
      <w:r>
        <w:rPr>
          <w:rFonts w:ascii="Arial" w:hAnsi="Arial" w:cs="Arial"/>
        </w:rPr>
        <w:t>the group discussed various topics</w:t>
      </w:r>
      <w:r w:rsidR="00EF775D">
        <w:rPr>
          <w:rFonts w:ascii="Arial" w:hAnsi="Arial" w:cs="Arial"/>
        </w:rPr>
        <w:t xml:space="preserve">.  </w:t>
      </w:r>
    </w:p>
    <w:p w:rsidR="008D4B70" w:rsidRPr="008D4B70" w:rsidRDefault="008D4B70" w:rsidP="009307B9">
      <w:pPr>
        <w:pStyle w:val="ListParagraph"/>
        <w:numPr>
          <w:ilvl w:val="0"/>
          <w:numId w:val="25"/>
        </w:numPr>
        <w:spacing w:after="120"/>
        <w:contextualSpacing w:val="0"/>
        <w:rPr>
          <w:rFonts w:ascii="Arial" w:hAnsi="Arial" w:cs="Arial"/>
          <w:sz w:val="22"/>
          <w:szCs w:val="22"/>
        </w:rPr>
      </w:pPr>
      <w:r w:rsidRPr="005756F1">
        <w:rPr>
          <w:rFonts w:ascii="Arial" w:hAnsi="Arial" w:cs="Arial"/>
          <w:b/>
          <w:sz w:val="22"/>
          <w:szCs w:val="22"/>
        </w:rPr>
        <w:t>Schedule Changes</w:t>
      </w:r>
      <w:r w:rsidR="00EF775D" w:rsidRPr="005756F1">
        <w:rPr>
          <w:rFonts w:ascii="Arial" w:hAnsi="Arial" w:cs="Arial"/>
          <w:b/>
          <w:sz w:val="22"/>
          <w:szCs w:val="22"/>
        </w:rPr>
        <w:t xml:space="preserve"> </w:t>
      </w:r>
      <w:r w:rsidR="00307F16" w:rsidRPr="005756F1">
        <w:rPr>
          <w:rFonts w:ascii="Arial" w:hAnsi="Arial" w:cs="Arial"/>
          <w:b/>
          <w:sz w:val="22"/>
          <w:szCs w:val="22"/>
        </w:rPr>
        <w:t>–</w:t>
      </w:r>
      <w:r w:rsidR="00EF775D" w:rsidRPr="008D4B70">
        <w:rPr>
          <w:rFonts w:ascii="Arial" w:hAnsi="Arial" w:cs="Arial"/>
          <w:sz w:val="22"/>
          <w:szCs w:val="22"/>
        </w:rPr>
        <w:t xml:space="preserve"> </w:t>
      </w:r>
      <w:r w:rsidRPr="008D4B70">
        <w:rPr>
          <w:rFonts w:ascii="Arial" w:hAnsi="Arial" w:cs="Arial"/>
          <w:sz w:val="22"/>
          <w:szCs w:val="22"/>
        </w:rPr>
        <w:t xml:space="preserve">the deans are </w:t>
      </w:r>
      <w:r w:rsidR="00DF01FC">
        <w:rPr>
          <w:rFonts w:ascii="Arial" w:hAnsi="Arial" w:cs="Arial"/>
          <w:sz w:val="22"/>
          <w:szCs w:val="22"/>
        </w:rPr>
        <w:t>researching information about the</w:t>
      </w:r>
      <w:r w:rsidRPr="008D4B70">
        <w:rPr>
          <w:rFonts w:ascii="Arial" w:hAnsi="Arial" w:cs="Arial"/>
          <w:sz w:val="22"/>
          <w:szCs w:val="22"/>
        </w:rPr>
        <w:t xml:space="preserve"> add/drop date</w:t>
      </w:r>
      <w:r w:rsidR="00DF01FC">
        <w:rPr>
          <w:rFonts w:ascii="Arial" w:hAnsi="Arial" w:cs="Arial"/>
          <w:sz w:val="22"/>
          <w:szCs w:val="22"/>
        </w:rPr>
        <w:t xml:space="preserve">.  It’s currently set for </w:t>
      </w:r>
      <w:r w:rsidRPr="008D4B70">
        <w:rPr>
          <w:rFonts w:ascii="Arial" w:hAnsi="Arial" w:cs="Arial"/>
          <w:sz w:val="22"/>
          <w:szCs w:val="22"/>
        </w:rPr>
        <w:t>week six</w:t>
      </w:r>
      <w:r w:rsidR="00A22644">
        <w:rPr>
          <w:rFonts w:ascii="Arial" w:hAnsi="Arial" w:cs="Arial"/>
          <w:sz w:val="22"/>
          <w:szCs w:val="22"/>
        </w:rPr>
        <w:t>.</w:t>
      </w:r>
      <w:r w:rsidRPr="008D4B70">
        <w:rPr>
          <w:rFonts w:ascii="Arial" w:hAnsi="Arial" w:cs="Arial"/>
          <w:sz w:val="22"/>
          <w:szCs w:val="22"/>
        </w:rPr>
        <w:t xml:space="preserve">  </w:t>
      </w:r>
      <w:r w:rsidR="00DF01FC">
        <w:rPr>
          <w:rFonts w:ascii="Arial" w:hAnsi="Arial" w:cs="Arial"/>
          <w:sz w:val="22"/>
          <w:szCs w:val="22"/>
        </w:rPr>
        <w:t>They would like</w:t>
      </w:r>
      <w:r w:rsidRPr="008D4B70">
        <w:rPr>
          <w:rFonts w:ascii="Arial" w:hAnsi="Arial" w:cs="Arial"/>
          <w:sz w:val="22"/>
          <w:szCs w:val="22"/>
        </w:rPr>
        <w:t xml:space="preserve"> advice from ARC on whether that is the best deadline and what the implications of changing are.  </w:t>
      </w:r>
    </w:p>
    <w:p w:rsidR="008D4B70" w:rsidRPr="008D4B70" w:rsidRDefault="008D4B70" w:rsidP="009307B9">
      <w:pPr>
        <w:spacing w:after="120"/>
        <w:ind w:left="720"/>
        <w:rPr>
          <w:rFonts w:ascii="Arial" w:hAnsi="Arial" w:cs="Arial"/>
        </w:rPr>
      </w:pPr>
      <w:r w:rsidRPr="008D4B70">
        <w:rPr>
          <w:rFonts w:ascii="Arial" w:hAnsi="Arial" w:cs="Arial"/>
        </w:rPr>
        <w:t>Dustin said that Reporting Services has data on when and how many students dropped classes</w:t>
      </w:r>
      <w:r w:rsidR="00DF01FC">
        <w:rPr>
          <w:rFonts w:ascii="Arial" w:hAnsi="Arial" w:cs="Arial"/>
        </w:rPr>
        <w:t>, which may be useful in the research process</w:t>
      </w:r>
      <w:r w:rsidRPr="008D4B70">
        <w:rPr>
          <w:rFonts w:ascii="Arial" w:hAnsi="Arial" w:cs="Arial"/>
        </w:rPr>
        <w:t xml:space="preserve">.  </w:t>
      </w:r>
    </w:p>
    <w:p w:rsidR="008D4B70" w:rsidRPr="009307B9" w:rsidRDefault="005756F1" w:rsidP="009307B9">
      <w:pPr>
        <w:spacing w:after="120"/>
        <w:ind w:left="720"/>
        <w:rPr>
          <w:rFonts w:ascii="Arial" w:hAnsi="Arial" w:cs="Arial"/>
          <w:u w:val="single"/>
        </w:rPr>
      </w:pPr>
      <w:r>
        <w:rPr>
          <w:rFonts w:ascii="Arial" w:hAnsi="Arial" w:cs="Arial"/>
          <w:u w:val="single"/>
        </w:rPr>
        <w:t>Discussion:</w:t>
      </w:r>
      <w:r>
        <w:rPr>
          <w:rFonts w:ascii="Arial" w:hAnsi="Arial" w:cs="Arial"/>
        </w:rPr>
        <w:t xml:space="preserve">  </w:t>
      </w:r>
      <w:r w:rsidR="00DF01FC">
        <w:rPr>
          <w:rFonts w:ascii="Arial" w:hAnsi="Arial" w:cs="Arial"/>
        </w:rPr>
        <w:t xml:space="preserve">We </w:t>
      </w:r>
      <w:r w:rsidR="00A22644">
        <w:rPr>
          <w:rFonts w:ascii="Arial" w:hAnsi="Arial" w:cs="Arial"/>
        </w:rPr>
        <w:t>must</w:t>
      </w:r>
      <w:r w:rsidR="00DF01FC">
        <w:rPr>
          <w:rFonts w:ascii="Arial" w:hAnsi="Arial" w:cs="Arial"/>
        </w:rPr>
        <w:t xml:space="preserve"> to consider </w:t>
      </w:r>
      <w:r w:rsidR="008D4B70" w:rsidRPr="008D4B70">
        <w:rPr>
          <w:rFonts w:ascii="Arial" w:hAnsi="Arial" w:cs="Arial"/>
        </w:rPr>
        <w:t xml:space="preserve">students needing a full-time load for </w:t>
      </w:r>
      <w:r w:rsidR="00A22644">
        <w:rPr>
          <w:rFonts w:ascii="Arial" w:hAnsi="Arial" w:cs="Arial"/>
        </w:rPr>
        <w:t>financial aid and other reasons</w:t>
      </w:r>
      <w:r w:rsidR="008D4B70" w:rsidRPr="008D4B70">
        <w:rPr>
          <w:rFonts w:ascii="Arial" w:hAnsi="Arial" w:cs="Arial"/>
        </w:rPr>
        <w:t xml:space="preserve">.  What if they drop and need something else?  There are not many late start classes they can </w:t>
      </w:r>
      <w:r w:rsidR="00DF01FC">
        <w:rPr>
          <w:rFonts w:ascii="Arial" w:hAnsi="Arial" w:cs="Arial"/>
        </w:rPr>
        <w:t>add</w:t>
      </w:r>
      <w:r w:rsidR="008D4B70" w:rsidRPr="008D4B70">
        <w:rPr>
          <w:rFonts w:ascii="Arial" w:hAnsi="Arial" w:cs="Arial"/>
        </w:rPr>
        <w:t xml:space="preserve">. </w:t>
      </w:r>
    </w:p>
    <w:p w:rsidR="00DF01FC" w:rsidRPr="008D4B70" w:rsidRDefault="00DF01FC" w:rsidP="009307B9">
      <w:pPr>
        <w:spacing w:after="120"/>
        <w:ind w:left="720"/>
        <w:rPr>
          <w:rFonts w:ascii="Arial" w:hAnsi="Arial" w:cs="Arial"/>
        </w:rPr>
      </w:pPr>
      <w:r>
        <w:rPr>
          <w:rFonts w:ascii="Arial" w:hAnsi="Arial" w:cs="Arial"/>
        </w:rPr>
        <w:t>Mid</w:t>
      </w:r>
      <w:r w:rsidR="008D4B70" w:rsidRPr="008D4B70">
        <w:rPr>
          <w:rFonts w:ascii="Arial" w:hAnsi="Arial" w:cs="Arial"/>
        </w:rPr>
        <w:t>-term may be factor</w:t>
      </w:r>
      <w:r>
        <w:rPr>
          <w:rFonts w:ascii="Arial" w:hAnsi="Arial" w:cs="Arial"/>
        </w:rPr>
        <w:t xml:space="preserve"> in deciding the date.  Many students take mid-terms before deciding on dropping the course</w:t>
      </w:r>
      <w:r w:rsidR="008D4B70" w:rsidRPr="008D4B70">
        <w:rPr>
          <w:rFonts w:ascii="Arial" w:hAnsi="Arial" w:cs="Arial"/>
        </w:rPr>
        <w:t xml:space="preserve">.  </w:t>
      </w:r>
      <w:r>
        <w:rPr>
          <w:rFonts w:ascii="Arial" w:hAnsi="Arial" w:cs="Arial"/>
        </w:rPr>
        <w:t>It was mentioned that</w:t>
      </w:r>
      <w:r w:rsidR="008D4B70" w:rsidRPr="008D4B70">
        <w:rPr>
          <w:rFonts w:ascii="Arial" w:hAnsi="Arial" w:cs="Arial"/>
        </w:rPr>
        <w:t xml:space="preserve"> there should be case by case exceptions</w:t>
      </w:r>
      <w:r>
        <w:rPr>
          <w:rFonts w:ascii="Arial" w:hAnsi="Arial" w:cs="Arial"/>
        </w:rPr>
        <w:t xml:space="preserve"> on the deadline</w:t>
      </w:r>
      <w:r w:rsidR="00A22644">
        <w:rPr>
          <w:rFonts w:ascii="Arial" w:hAnsi="Arial" w:cs="Arial"/>
        </w:rPr>
        <w:t>, such as family emergencies</w:t>
      </w:r>
      <w:r w:rsidR="008D4B70" w:rsidRPr="008D4B70">
        <w:rPr>
          <w:rFonts w:ascii="Arial" w:hAnsi="Arial" w:cs="Arial"/>
        </w:rPr>
        <w:t xml:space="preserve">.  </w:t>
      </w:r>
    </w:p>
    <w:p w:rsidR="00DF01FC" w:rsidRDefault="00DF01FC" w:rsidP="009307B9">
      <w:pPr>
        <w:spacing w:after="120"/>
        <w:ind w:left="720"/>
        <w:rPr>
          <w:rFonts w:ascii="Arial" w:hAnsi="Arial" w:cs="Arial"/>
        </w:rPr>
      </w:pPr>
      <w:r>
        <w:rPr>
          <w:rFonts w:ascii="Arial" w:hAnsi="Arial" w:cs="Arial"/>
        </w:rPr>
        <w:t>T</w:t>
      </w:r>
      <w:r w:rsidR="008D4B70" w:rsidRPr="008D4B70">
        <w:rPr>
          <w:rFonts w:ascii="Arial" w:hAnsi="Arial" w:cs="Arial"/>
        </w:rPr>
        <w:t xml:space="preserve">here are issues </w:t>
      </w:r>
      <w:r>
        <w:rPr>
          <w:rFonts w:ascii="Arial" w:hAnsi="Arial" w:cs="Arial"/>
        </w:rPr>
        <w:t>with</w:t>
      </w:r>
      <w:r w:rsidR="008D4B70" w:rsidRPr="008D4B70">
        <w:rPr>
          <w:rFonts w:ascii="Arial" w:hAnsi="Arial" w:cs="Arial"/>
        </w:rPr>
        <w:t xml:space="preserve"> compliance </w:t>
      </w:r>
      <w:r>
        <w:rPr>
          <w:rFonts w:ascii="Arial" w:hAnsi="Arial" w:cs="Arial"/>
        </w:rPr>
        <w:t>in</w:t>
      </w:r>
      <w:r w:rsidR="008D4B70" w:rsidRPr="008D4B70">
        <w:rPr>
          <w:rFonts w:ascii="Arial" w:hAnsi="Arial" w:cs="Arial"/>
        </w:rPr>
        <w:t xml:space="preserve"> re</w:t>
      </w:r>
      <w:r>
        <w:rPr>
          <w:rFonts w:ascii="Arial" w:hAnsi="Arial" w:cs="Arial"/>
        </w:rPr>
        <w:t>turning funds, such as VA and federal financial aid.  There is also</w:t>
      </w:r>
      <w:r w:rsidR="008D4B70" w:rsidRPr="008D4B70">
        <w:rPr>
          <w:rFonts w:ascii="Arial" w:hAnsi="Arial" w:cs="Arial"/>
        </w:rPr>
        <w:t xml:space="preserve"> a four week census date; we send</w:t>
      </w:r>
      <w:r w:rsidR="005756F1">
        <w:rPr>
          <w:rFonts w:ascii="Arial" w:hAnsi="Arial" w:cs="Arial"/>
        </w:rPr>
        <w:t xml:space="preserve"> an</w:t>
      </w:r>
      <w:r w:rsidR="008D4B70" w:rsidRPr="008D4B70">
        <w:rPr>
          <w:rFonts w:ascii="Arial" w:hAnsi="Arial" w:cs="Arial"/>
        </w:rPr>
        <w:t xml:space="preserve"> enrollment report to </w:t>
      </w:r>
      <w:r>
        <w:rPr>
          <w:rFonts w:ascii="Arial" w:hAnsi="Arial" w:cs="Arial"/>
        </w:rPr>
        <w:t>the S</w:t>
      </w:r>
      <w:r w:rsidR="008D4B70" w:rsidRPr="008D4B70">
        <w:rPr>
          <w:rFonts w:ascii="Arial" w:hAnsi="Arial" w:cs="Arial"/>
        </w:rPr>
        <w:t xml:space="preserve">tate for FTE reimbursement.  </w:t>
      </w:r>
      <w:r>
        <w:rPr>
          <w:rFonts w:ascii="Arial" w:hAnsi="Arial" w:cs="Arial"/>
        </w:rPr>
        <w:t>The deadline can’t be before</w:t>
      </w:r>
      <w:r w:rsidR="008D4B70" w:rsidRPr="008D4B70">
        <w:rPr>
          <w:rFonts w:ascii="Arial" w:hAnsi="Arial" w:cs="Arial"/>
        </w:rPr>
        <w:t xml:space="preserve"> that date.  </w:t>
      </w:r>
    </w:p>
    <w:p w:rsidR="005756F1" w:rsidRPr="008D4B70" w:rsidRDefault="00006557" w:rsidP="009307B9">
      <w:pPr>
        <w:spacing w:after="120"/>
        <w:ind w:left="720"/>
        <w:rPr>
          <w:rFonts w:ascii="Arial" w:hAnsi="Arial" w:cs="Arial"/>
        </w:rPr>
      </w:pPr>
      <w:r>
        <w:rPr>
          <w:rFonts w:ascii="Arial" w:hAnsi="Arial" w:cs="Arial"/>
        </w:rPr>
        <w:t>We</w:t>
      </w:r>
      <w:r w:rsidR="005756F1">
        <w:rPr>
          <w:rFonts w:ascii="Arial" w:hAnsi="Arial" w:cs="Arial"/>
        </w:rPr>
        <w:t xml:space="preserve"> may want to take a look at other school policies.</w:t>
      </w:r>
      <w:r w:rsidR="008D4B70" w:rsidRPr="008D4B70">
        <w:rPr>
          <w:rFonts w:ascii="Arial" w:hAnsi="Arial" w:cs="Arial"/>
        </w:rPr>
        <w:t xml:space="preserve">  </w:t>
      </w:r>
    </w:p>
    <w:p w:rsidR="008D4B70" w:rsidRPr="005756F1" w:rsidRDefault="008D4B70" w:rsidP="009307B9">
      <w:pPr>
        <w:spacing w:after="120"/>
        <w:ind w:left="720"/>
        <w:rPr>
          <w:rFonts w:ascii="Arial" w:hAnsi="Arial" w:cs="Arial"/>
        </w:rPr>
      </w:pPr>
      <w:r w:rsidRPr="008D4B70">
        <w:rPr>
          <w:rFonts w:ascii="Arial" w:hAnsi="Arial" w:cs="Arial"/>
        </w:rPr>
        <w:t xml:space="preserve">Someone suggested that we should have a mandatory automated withdraw policy.  John will add to the list of policies.  </w:t>
      </w:r>
    </w:p>
    <w:p w:rsidR="005756F1" w:rsidRPr="005756F1" w:rsidRDefault="005756F1" w:rsidP="009307B9">
      <w:pPr>
        <w:pStyle w:val="ListParagraph"/>
        <w:numPr>
          <w:ilvl w:val="0"/>
          <w:numId w:val="25"/>
        </w:numPr>
        <w:spacing w:after="120" w:line="240" w:lineRule="auto"/>
        <w:contextualSpacing w:val="0"/>
        <w:rPr>
          <w:rFonts w:ascii="Arial" w:hAnsi="Arial" w:cs="Arial"/>
          <w:sz w:val="22"/>
          <w:szCs w:val="22"/>
        </w:rPr>
      </w:pPr>
      <w:r w:rsidRPr="005756F1">
        <w:rPr>
          <w:rFonts w:ascii="Arial" w:hAnsi="Arial" w:cs="Arial"/>
          <w:b/>
          <w:sz w:val="22"/>
          <w:szCs w:val="22"/>
        </w:rPr>
        <w:t>Student Planning –</w:t>
      </w:r>
      <w:r>
        <w:rPr>
          <w:rFonts w:ascii="Arial" w:hAnsi="Arial" w:cs="Arial"/>
          <w:sz w:val="22"/>
          <w:szCs w:val="22"/>
        </w:rPr>
        <w:t xml:space="preserve"> Dustin reported that the project is in process, no further update. </w:t>
      </w:r>
    </w:p>
    <w:p w:rsidR="005756F1" w:rsidRPr="005756F1" w:rsidRDefault="005756F1" w:rsidP="009307B9">
      <w:pPr>
        <w:pStyle w:val="ListParagraph"/>
        <w:numPr>
          <w:ilvl w:val="0"/>
          <w:numId w:val="25"/>
        </w:numPr>
        <w:spacing w:after="120"/>
        <w:contextualSpacing w:val="0"/>
        <w:rPr>
          <w:rFonts w:ascii="Arial" w:hAnsi="Arial" w:cs="Arial"/>
          <w:sz w:val="22"/>
          <w:szCs w:val="22"/>
        </w:rPr>
      </w:pPr>
      <w:r w:rsidRPr="005756F1">
        <w:rPr>
          <w:rFonts w:ascii="Arial" w:hAnsi="Arial" w:cs="Arial"/>
          <w:b/>
          <w:sz w:val="22"/>
          <w:szCs w:val="22"/>
        </w:rPr>
        <w:t>Online Student Orientation –</w:t>
      </w:r>
      <w:r>
        <w:rPr>
          <w:rFonts w:ascii="Arial" w:hAnsi="Arial" w:cs="Arial"/>
          <w:sz w:val="22"/>
          <w:szCs w:val="22"/>
        </w:rPr>
        <w:t xml:space="preserve"> Ryan reported that the project is in the design phase.  The group is currently creating content.  A draft demo will be available for the group in early March. </w:t>
      </w:r>
    </w:p>
    <w:p w:rsidR="00FA1871" w:rsidRPr="00E11F85" w:rsidRDefault="008D4B70" w:rsidP="00E11F85">
      <w:pPr>
        <w:spacing w:after="120"/>
        <w:ind w:left="720"/>
        <w:rPr>
          <w:rFonts w:ascii="Arial" w:hAnsi="Arial" w:cs="Arial"/>
        </w:rPr>
      </w:pPr>
      <w:r w:rsidRPr="005756F1">
        <w:rPr>
          <w:rFonts w:ascii="Arial" w:hAnsi="Arial" w:cs="Arial"/>
        </w:rPr>
        <w:t xml:space="preserve"> </w:t>
      </w:r>
    </w:p>
    <w:p w:rsidR="00584BB2" w:rsidRPr="00DD0A33" w:rsidRDefault="00584BB2" w:rsidP="00584BB2">
      <w:pPr>
        <w:spacing w:after="120"/>
        <w:rPr>
          <w:rFonts w:ascii="Arial" w:hAnsi="Arial" w:cs="Arial"/>
          <w:b/>
        </w:rPr>
      </w:pPr>
      <w:r w:rsidRPr="00DD0A33">
        <w:rPr>
          <w:rFonts w:ascii="Arial" w:hAnsi="Arial" w:cs="Arial"/>
          <w:b/>
        </w:rPr>
        <w:t xml:space="preserve">Next Meeting – </w:t>
      </w:r>
    </w:p>
    <w:p w:rsidR="00584BB2" w:rsidRPr="00DD0A33" w:rsidRDefault="00584BB2" w:rsidP="00584BB2">
      <w:pPr>
        <w:rPr>
          <w:rFonts w:ascii="Arial" w:hAnsi="Arial" w:cs="Arial"/>
        </w:rPr>
      </w:pPr>
      <w:r w:rsidRPr="00DD0A33">
        <w:rPr>
          <w:rFonts w:ascii="Arial" w:hAnsi="Arial" w:cs="Arial"/>
        </w:rPr>
        <w:tab/>
      </w:r>
      <w:r w:rsidR="009307B9">
        <w:rPr>
          <w:rFonts w:ascii="Arial" w:hAnsi="Arial" w:cs="Arial"/>
        </w:rPr>
        <w:t>February 13, 2017</w:t>
      </w:r>
    </w:p>
    <w:p w:rsidR="00584BB2" w:rsidRPr="00DD0A33" w:rsidRDefault="00023903" w:rsidP="00584BB2">
      <w:pPr>
        <w:rPr>
          <w:rFonts w:ascii="Arial" w:hAnsi="Arial" w:cs="Arial"/>
        </w:rPr>
      </w:pPr>
      <w:r>
        <w:rPr>
          <w:rFonts w:ascii="Arial" w:hAnsi="Arial" w:cs="Arial"/>
        </w:rPr>
        <w:tab/>
        <w:t>2:00PM-3:00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t>Room: CC126</w:t>
      </w:r>
    </w:p>
    <w:p w:rsidR="00DD0A33" w:rsidRPr="00DD0A33" w:rsidRDefault="00DD0A33" w:rsidP="00582963">
      <w:pPr>
        <w:rPr>
          <w:rFonts w:ascii="Arial" w:hAnsi="Arial" w:cs="Arial"/>
        </w:rPr>
      </w:pPr>
    </w:p>
    <w:p w:rsidR="00BF4AB2" w:rsidRDefault="00BF4AB2" w:rsidP="00BF4AB2">
      <w:pPr>
        <w:ind w:left="720"/>
        <w:rPr>
          <w:rFonts w:ascii="Arial" w:hAnsi="Arial" w:cs="Arial"/>
        </w:rPr>
      </w:pPr>
      <w:r>
        <w:rPr>
          <w:rFonts w:ascii="Arial" w:hAnsi="Arial" w:cs="Arial"/>
        </w:rPr>
        <w:t xml:space="preserve">Agenda topics will include a review of the Sex Offender Policy and the Email Policy.  Elizabeth Brand Cox, Executive Director of OCCA’s Student Success Center will attend to discuss our work and plans for student success. </w:t>
      </w:r>
    </w:p>
    <w:p w:rsidR="00BF4AB2" w:rsidRDefault="00BF4AB2" w:rsidP="00582963">
      <w:pPr>
        <w:rPr>
          <w:rFonts w:ascii="Arial" w:hAnsi="Arial" w:cs="Arial"/>
        </w:rPr>
      </w:pPr>
    </w:p>
    <w:p w:rsidR="00DD0A33" w:rsidRPr="00DD0A33" w:rsidRDefault="00DD0A33" w:rsidP="00582963">
      <w:pPr>
        <w:rPr>
          <w:rFonts w:ascii="Arial" w:hAnsi="Arial" w:cs="Arial"/>
          <w:b/>
        </w:rPr>
      </w:pPr>
      <w:r w:rsidRPr="00DD0A33">
        <w:rPr>
          <w:rFonts w:ascii="Arial" w:hAnsi="Arial" w:cs="Arial"/>
          <w:b/>
        </w:rPr>
        <w:t xml:space="preserve">Meeting Handouts – </w:t>
      </w:r>
      <w:bookmarkStart w:id="0" w:name="_GoBack"/>
      <w:bookmarkEnd w:id="0"/>
    </w:p>
    <w:p w:rsidR="00DD0A33" w:rsidRDefault="00DD0A33" w:rsidP="00582963">
      <w:pPr>
        <w:rPr>
          <w:rFonts w:ascii="Arial" w:hAnsi="Arial" w:cs="Arial"/>
          <w:b/>
        </w:rPr>
      </w:pPr>
    </w:p>
    <w:p w:rsidR="009307B9" w:rsidRPr="009307B9" w:rsidRDefault="009307B9" w:rsidP="00582963">
      <w:pPr>
        <w:rPr>
          <w:rFonts w:ascii="Arial" w:hAnsi="Arial" w:cs="Arial"/>
        </w:rPr>
      </w:pPr>
      <w:r>
        <w:rPr>
          <w:rFonts w:ascii="Arial" w:hAnsi="Arial" w:cs="Arial"/>
          <w:b/>
        </w:rPr>
        <w:tab/>
      </w:r>
      <w:r w:rsidRPr="009307B9">
        <w:rPr>
          <w:rFonts w:ascii="Arial" w:hAnsi="Arial" w:cs="Arial"/>
        </w:rPr>
        <w:t>No handouts</w:t>
      </w:r>
    </w:p>
    <w:p w:rsidR="00DD0A33" w:rsidRPr="00DD0A33" w:rsidRDefault="00DD0A33" w:rsidP="00582963">
      <w:pPr>
        <w:rPr>
          <w:rFonts w:ascii="Arial" w:hAnsi="Arial" w:cs="Arial"/>
          <w:b/>
        </w:rPr>
      </w:pPr>
    </w:p>
    <w:sectPr w:rsidR="00DD0A33" w:rsidRPr="00DD0A33" w:rsidSect="0037780D">
      <w:footerReference w:type="default" r:id="rId8"/>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73" w:rsidRDefault="00623A73" w:rsidP="006026AA">
      <w:r>
        <w:separator/>
      </w:r>
    </w:p>
  </w:endnote>
  <w:endnote w:type="continuationSeparator" w:id="0">
    <w:p w:rsidR="00623A73" w:rsidRDefault="00623A73"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A5486C">
              <w:rPr>
                <w:rFonts w:ascii="Arial" w:hAnsi="Arial" w:cs="Arial"/>
                <w:b/>
                <w:bCs/>
                <w:noProof/>
              </w:rPr>
              <w:t>1</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A5486C">
              <w:rPr>
                <w:rFonts w:ascii="Arial" w:hAnsi="Arial" w:cs="Arial"/>
                <w:b/>
                <w:bCs/>
                <w:noProof/>
              </w:rPr>
              <w:t>2</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73" w:rsidRDefault="00623A73" w:rsidP="006026AA">
      <w:r>
        <w:separator/>
      </w:r>
    </w:p>
  </w:footnote>
  <w:footnote w:type="continuationSeparator" w:id="0">
    <w:p w:rsidR="00623A73" w:rsidRDefault="00623A73"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8"/>
  </w:num>
  <w:num w:numId="5">
    <w:abstractNumId w:val="3"/>
  </w:num>
  <w:num w:numId="6">
    <w:abstractNumId w:val="7"/>
  </w:num>
  <w:num w:numId="7">
    <w:abstractNumId w:val="19"/>
  </w:num>
  <w:num w:numId="8">
    <w:abstractNumId w:val="4"/>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10"/>
  </w:num>
  <w:num w:numId="16">
    <w:abstractNumId w:val="0"/>
  </w:num>
  <w:num w:numId="17">
    <w:abstractNumId w:val="5"/>
  </w:num>
  <w:num w:numId="18">
    <w:abstractNumId w:val="15"/>
  </w:num>
  <w:num w:numId="19">
    <w:abstractNumId w:val="9"/>
  </w:num>
  <w:num w:numId="20">
    <w:abstractNumId w:val="1"/>
  </w:num>
  <w:num w:numId="21">
    <w:abstractNumId w:val="22"/>
  </w:num>
  <w:num w:numId="22">
    <w:abstractNumId w:val="12"/>
  </w:num>
  <w:num w:numId="23">
    <w:abstractNumId w:val="1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44032"/>
    <w:rsid w:val="00044956"/>
    <w:rsid w:val="00064B08"/>
    <w:rsid w:val="00065218"/>
    <w:rsid w:val="000710EC"/>
    <w:rsid w:val="00084ADB"/>
    <w:rsid w:val="00091006"/>
    <w:rsid w:val="00094F14"/>
    <w:rsid w:val="000A04B5"/>
    <w:rsid w:val="000A4B93"/>
    <w:rsid w:val="000B290F"/>
    <w:rsid w:val="000C31A1"/>
    <w:rsid w:val="000C61BC"/>
    <w:rsid w:val="000F30E9"/>
    <w:rsid w:val="00103CD6"/>
    <w:rsid w:val="0011122E"/>
    <w:rsid w:val="0012033D"/>
    <w:rsid w:val="00121CA3"/>
    <w:rsid w:val="00130840"/>
    <w:rsid w:val="00135071"/>
    <w:rsid w:val="0017681C"/>
    <w:rsid w:val="001848D3"/>
    <w:rsid w:val="0019087B"/>
    <w:rsid w:val="00196185"/>
    <w:rsid w:val="001B3D3D"/>
    <w:rsid w:val="001C0D7A"/>
    <w:rsid w:val="001D649E"/>
    <w:rsid w:val="001E09CB"/>
    <w:rsid w:val="001F1236"/>
    <w:rsid w:val="001F4DD7"/>
    <w:rsid w:val="00215F4F"/>
    <w:rsid w:val="00223E89"/>
    <w:rsid w:val="00251918"/>
    <w:rsid w:val="00261DC8"/>
    <w:rsid w:val="00263618"/>
    <w:rsid w:val="002656AE"/>
    <w:rsid w:val="00265790"/>
    <w:rsid w:val="002658AE"/>
    <w:rsid w:val="00294A97"/>
    <w:rsid w:val="00297247"/>
    <w:rsid w:val="002A1F9C"/>
    <w:rsid w:val="002B6DB4"/>
    <w:rsid w:val="002D7133"/>
    <w:rsid w:val="002D7381"/>
    <w:rsid w:val="002E1227"/>
    <w:rsid w:val="002E2C1D"/>
    <w:rsid w:val="002E4DCD"/>
    <w:rsid w:val="002F3D64"/>
    <w:rsid w:val="002F5719"/>
    <w:rsid w:val="00307F16"/>
    <w:rsid w:val="0031053C"/>
    <w:rsid w:val="00333D64"/>
    <w:rsid w:val="00335B03"/>
    <w:rsid w:val="003420C3"/>
    <w:rsid w:val="00352D44"/>
    <w:rsid w:val="00354F4D"/>
    <w:rsid w:val="0035623D"/>
    <w:rsid w:val="0037780D"/>
    <w:rsid w:val="003C789C"/>
    <w:rsid w:val="003D4F13"/>
    <w:rsid w:val="003E4D36"/>
    <w:rsid w:val="003F1DAC"/>
    <w:rsid w:val="003F40B9"/>
    <w:rsid w:val="003F7B72"/>
    <w:rsid w:val="00425F53"/>
    <w:rsid w:val="0043530E"/>
    <w:rsid w:val="00445BC2"/>
    <w:rsid w:val="00456827"/>
    <w:rsid w:val="0047569C"/>
    <w:rsid w:val="00492479"/>
    <w:rsid w:val="004A33EE"/>
    <w:rsid w:val="004B37D6"/>
    <w:rsid w:val="004B42FB"/>
    <w:rsid w:val="004B7A56"/>
    <w:rsid w:val="004C09ED"/>
    <w:rsid w:val="004C1332"/>
    <w:rsid w:val="004C2FF3"/>
    <w:rsid w:val="004C464C"/>
    <w:rsid w:val="004D62A0"/>
    <w:rsid w:val="005030E3"/>
    <w:rsid w:val="00522E4C"/>
    <w:rsid w:val="00522F3A"/>
    <w:rsid w:val="005756F1"/>
    <w:rsid w:val="00575728"/>
    <w:rsid w:val="00582963"/>
    <w:rsid w:val="00584BB2"/>
    <w:rsid w:val="00590E23"/>
    <w:rsid w:val="00591299"/>
    <w:rsid w:val="00594E86"/>
    <w:rsid w:val="00597B08"/>
    <w:rsid w:val="005A3585"/>
    <w:rsid w:val="005B03AD"/>
    <w:rsid w:val="005D6427"/>
    <w:rsid w:val="005E6645"/>
    <w:rsid w:val="006026AA"/>
    <w:rsid w:val="00622F3D"/>
    <w:rsid w:val="00623A73"/>
    <w:rsid w:val="00633691"/>
    <w:rsid w:val="00637261"/>
    <w:rsid w:val="00643896"/>
    <w:rsid w:val="00675DF6"/>
    <w:rsid w:val="00687512"/>
    <w:rsid w:val="006E0D21"/>
    <w:rsid w:val="006F0DBA"/>
    <w:rsid w:val="00713878"/>
    <w:rsid w:val="00713EFE"/>
    <w:rsid w:val="00723A0B"/>
    <w:rsid w:val="0075220A"/>
    <w:rsid w:val="00760C8F"/>
    <w:rsid w:val="007611F6"/>
    <w:rsid w:val="007858D1"/>
    <w:rsid w:val="00790F06"/>
    <w:rsid w:val="007B4369"/>
    <w:rsid w:val="007B7A9D"/>
    <w:rsid w:val="007C2D1C"/>
    <w:rsid w:val="007D4BDF"/>
    <w:rsid w:val="007D6F59"/>
    <w:rsid w:val="007F4BE2"/>
    <w:rsid w:val="008004F0"/>
    <w:rsid w:val="00804E2F"/>
    <w:rsid w:val="00821903"/>
    <w:rsid w:val="00824C33"/>
    <w:rsid w:val="00831D83"/>
    <w:rsid w:val="00862AF6"/>
    <w:rsid w:val="008823E1"/>
    <w:rsid w:val="00894886"/>
    <w:rsid w:val="008C5E81"/>
    <w:rsid w:val="008D20BE"/>
    <w:rsid w:val="008D4B70"/>
    <w:rsid w:val="008D4CB1"/>
    <w:rsid w:val="008E722C"/>
    <w:rsid w:val="008F1F4F"/>
    <w:rsid w:val="00912348"/>
    <w:rsid w:val="00927F66"/>
    <w:rsid w:val="009307B9"/>
    <w:rsid w:val="009472D3"/>
    <w:rsid w:val="00967FD0"/>
    <w:rsid w:val="009A0103"/>
    <w:rsid w:val="009C0D5B"/>
    <w:rsid w:val="009C1005"/>
    <w:rsid w:val="009C514E"/>
    <w:rsid w:val="009C73B5"/>
    <w:rsid w:val="009D4C7C"/>
    <w:rsid w:val="009D52D9"/>
    <w:rsid w:val="009E146E"/>
    <w:rsid w:val="009F66BC"/>
    <w:rsid w:val="00A06ADC"/>
    <w:rsid w:val="00A14A4E"/>
    <w:rsid w:val="00A22644"/>
    <w:rsid w:val="00A25676"/>
    <w:rsid w:val="00A4615C"/>
    <w:rsid w:val="00A5486C"/>
    <w:rsid w:val="00A733A0"/>
    <w:rsid w:val="00A8496C"/>
    <w:rsid w:val="00A874B0"/>
    <w:rsid w:val="00A90A6A"/>
    <w:rsid w:val="00AA7129"/>
    <w:rsid w:val="00AB0F4A"/>
    <w:rsid w:val="00AF7349"/>
    <w:rsid w:val="00B00690"/>
    <w:rsid w:val="00B13D1F"/>
    <w:rsid w:val="00B3618B"/>
    <w:rsid w:val="00B40947"/>
    <w:rsid w:val="00B42E90"/>
    <w:rsid w:val="00B51393"/>
    <w:rsid w:val="00B5402A"/>
    <w:rsid w:val="00B61EDD"/>
    <w:rsid w:val="00B66E30"/>
    <w:rsid w:val="00B765F4"/>
    <w:rsid w:val="00B870EA"/>
    <w:rsid w:val="00B93906"/>
    <w:rsid w:val="00BB762F"/>
    <w:rsid w:val="00BE7329"/>
    <w:rsid w:val="00BE7F2B"/>
    <w:rsid w:val="00BF3FBB"/>
    <w:rsid w:val="00BF4AB2"/>
    <w:rsid w:val="00C004A4"/>
    <w:rsid w:val="00C01155"/>
    <w:rsid w:val="00C111C8"/>
    <w:rsid w:val="00C3768A"/>
    <w:rsid w:val="00C43FD5"/>
    <w:rsid w:val="00C54758"/>
    <w:rsid w:val="00C6722B"/>
    <w:rsid w:val="00C74E77"/>
    <w:rsid w:val="00C77F55"/>
    <w:rsid w:val="00C82D48"/>
    <w:rsid w:val="00C93E2E"/>
    <w:rsid w:val="00C959B9"/>
    <w:rsid w:val="00CA1B62"/>
    <w:rsid w:val="00CA35B3"/>
    <w:rsid w:val="00CD3A42"/>
    <w:rsid w:val="00CE5B7E"/>
    <w:rsid w:val="00CF19A6"/>
    <w:rsid w:val="00D02C32"/>
    <w:rsid w:val="00D05864"/>
    <w:rsid w:val="00D108D1"/>
    <w:rsid w:val="00D22927"/>
    <w:rsid w:val="00D24996"/>
    <w:rsid w:val="00D5080E"/>
    <w:rsid w:val="00D518E4"/>
    <w:rsid w:val="00D9528B"/>
    <w:rsid w:val="00DA4E8A"/>
    <w:rsid w:val="00DB54F2"/>
    <w:rsid w:val="00DC5E9C"/>
    <w:rsid w:val="00DD0A33"/>
    <w:rsid w:val="00DD2815"/>
    <w:rsid w:val="00DF01FC"/>
    <w:rsid w:val="00E1027D"/>
    <w:rsid w:val="00E11F85"/>
    <w:rsid w:val="00E15E1F"/>
    <w:rsid w:val="00E33AB5"/>
    <w:rsid w:val="00E74FF0"/>
    <w:rsid w:val="00E81C18"/>
    <w:rsid w:val="00E953A4"/>
    <w:rsid w:val="00EA0D17"/>
    <w:rsid w:val="00EA286C"/>
    <w:rsid w:val="00EA409A"/>
    <w:rsid w:val="00EA614F"/>
    <w:rsid w:val="00EB1A45"/>
    <w:rsid w:val="00EB2D32"/>
    <w:rsid w:val="00EC4DD4"/>
    <w:rsid w:val="00EC7AAA"/>
    <w:rsid w:val="00EF775D"/>
    <w:rsid w:val="00F05B00"/>
    <w:rsid w:val="00F169E5"/>
    <w:rsid w:val="00F4518F"/>
    <w:rsid w:val="00F46137"/>
    <w:rsid w:val="00F61F52"/>
    <w:rsid w:val="00F6635E"/>
    <w:rsid w:val="00F717B0"/>
    <w:rsid w:val="00F71817"/>
    <w:rsid w:val="00FA1623"/>
    <w:rsid w:val="00FA1871"/>
    <w:rsid w:val="00FB0837"/>
    <w:rsid w:val="00FB2BD0"/>
    <w:rsid w:val="00FC08FA"/>
    <w:rsid w:val="00FD685D"/>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Laura Lundborg</cp:lastModifiedBy>
  <cp:revision>2</cp:revision>
  <cp:lastPrinted>2016-06-14T23:34:00Z</cp:lastPrinted>
  <dcterms:created xsi:type="dcterms:W3CDTF">2017-02-08T16:22:00Z</dcterms:created>
  <dcterms:modified xsi:type="dcterms:W3CDTF">2017-02-08T16:22:00Z</dcterms:modified>
</cp:coreProperties>
</file>